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B8" w:rsidRDefault="00A223B8" w:rsidP="00A223B8">
      <w:pPr>
        <w:jc w:val="center"/>
        <w:rPr>
          <w:rFonts w:ascii="宋体" w:hAnsi="宋体" w:cs="宋体"/>
          <w:b/>
          <w:color w:val="000000"/>
          <w:kern w:val="0"/>
          <w:sz w:val="28"/>
          <w:szCs w:val="21"/>
          <w:lang w:bidi="ar"/>
        </w:rPr>
      </w:pPr>
      <w:r w:rsidRPr="00A223B8">
        <w:rPr>
          <w:rFonts w:ascii="宋体" w:hAnsi="宋体" w:cs="宋体" w:hint="eastAsia"/>
          <w:b/>
          <w:color w:val="000000"/>
          <w:kern w:val="0"/>
          <w:sz w:val="28"/>
          <w:szCs w:val="21"/>
          <w:lang w:bidi="ar"/>
        </w:rPr>
        <w:t>三号楼四号楼室内监控改造升级项目采购</w:t>
      </w:r>
      <w:r w:rsidR="000B6BAC">
        <w:rPr>
          <w:rFonts w:ascii="宋体" w:hAnsi="宋体" w:cs="宋体" w:hint="eastAsia"/>
          <w:b/>
          <w:color w:val="000000"/>
          <w:kern w:val="0"/>
          <w:sz w:val="28"/>
          <w:szCs w:val="21"/>
          <w:lang w:bidi="ar"/>
        </w:rPr>
        <w:t>需求</w:t>
      </w:r>
      <w:bookmarkStart w:id="0" w:name="_GoBack"/>
      <w:bookmarkEnd w:id="0"/>
    </w:p>
    <w:p w:rsidR="00A223B8" w:rsidRPr="00202ECA" w:rsidRDefault="00A223B8" w:rsidP="00A223B8">
      <w:pPr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</w:pPr>
      <w:r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 xml:space="preserve"> </w:t>
      </w:r>
      <w:r w:rsidRPr="00202ECA">
        <w:rPr>
          <w:rFonts w:ascii="宋体" w:hAnsi="宋体" w:cs="宋体"/>
          <w:color w:val="000000"/>
          <w:kern w:val="0"/>
          <w:sz w:val="28"/>
          <w:szCs w:val="21"/>
          <w:lang w:bidi="ar"/>
        </w:rPr>
        <w:t xml:space="preserve">   </w:t>
      </w:r>
      <w:r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学校三号楼、四号楼</w:t>
      </w:r>
      <w:r w:rsid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是中考评卷场及</w:t>
      </w:r>
      <w:r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高考备用考场，需对其室内监</w:t>
      </w:r>
      <w:proofErr w:type="gramStart"/>
      <w:r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看进行</w:t>
      </w:r>
      <w:proofErr w:type="gramEnd"/>
      <w:r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升级改造，该监控系统必须确保能接入</w:t>
      </w:r>
      <w:r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南海区高考网上巡考系统</w:t>
      </w:r>
      <w:r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。具体采购清单如下</w:t>
      </w:r>
      <w:r w:rsidR="00036C11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。本项目</w:t>
      </w:r>
      <w:proofErr w:type="gramStart"/>
      <w:r w:rsidR="00036C11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涉及场</w:t>
      </w:r>
      <w:proofErr w:type="gramEnd"/>
      <w:r w:rsidR="00036C11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室布线及与高考网上巡</w:t>
      </w:r>
      <w:proofErr w:type="gramStart"/>
      <w:r w:rsidR="00036C11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考系统</w:t>
      </w:r>
      <w:proofErr w:type="gramEnd"/>
      <w:r w:rsidR="00036C11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的对接，所有投标供应商需提前到现场</w:t>
      </w:r>
      <w:proofErr w:type="gramStart"/>
      <w:r w:rsidR="00036C11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勘</w:t>
      </w:r>
      <w:proofErr w:type="gramEnd"/>
      <w:r w:rsidR="00036C11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踏</w:t>
      </w:r>
      <w:r w:rsidR="00202ECA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，项目联系人：胡尹1</w:t>
      </w:r>
      <w:r w:rsidR="00202ECA" w:rsidRPr="00202ECA">
        <w:rPr>
          <w:rFonts w:ascii="宋体" w:hAnsi="宋体" w:cs="宋体"/>
          <w:color w:val="000000"/>
          <w:kern w:val="0"/>
          <w:sz w:val="28"/>
          <w:szCs w:val="21"/>
          <w:lang w:bidi="ar"/>
        </w:rPr>
        <w:t>3450755834</w:t>
      </w:r>
      <w:r w:rsidR="00036C11" w:rsidRPr="00202ECA">
        <w:rPr>
          <w:rFonts w:ascii="宋体" w:hAnsi="宋体" w:cs="宋体" w:hint="eastAsia"/>
          <w:color w:val="000000"/>
          <w:kern w:val="0"/>
          <w:sz w:val="28"/>
          <w:szCs w:val="21"/>
          <w:lang w:bidi="ar"/>
        </w:rPr>
        <w:t>。</w:t>
      </w:r>
    </w:p>
    <w:tbl>
      <w:tblPr>
        <w:tblpPr w:leftFromText="180" w:rightFromText="180" w:vertAnchor="text" w:horzAnchor="page" w:tblpX="1457" w:tblpY="31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1050"/>
        <w:gridCol w:w="5410"/>
        <w:gridCol w:w="850"/>
        <w:gridCol w:w="851"/>
      </w:tblGrid>
      <w:tr w:rsidR="00A223B8" w:rsidTr="00A223B8">
        <w:trPr>
          <w:trHeight w:val="55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分项名称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品牌、规格型号主要技术参数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高清摄像机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1)传感器类型：1/3英寸CMOS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2)最大分辨率 300W，镜头焦距 2.8mm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3)最低照度 0.01Lux(彩色模式);0.001Lux(黑白模式);0 Lux（红外灯开启）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4)最大红外距离30米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5)信噪比 &gt;56dB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6)支持1路音频输入、1路音频输出，压缩标准G.711a;G.7 11Mu;AAC，音频码率 64Kbps/128 Kbps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7)支持H.264;H.264H;H.264B; MJPEG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8)支持视音频录像功能，视音频同步试验≤1秒。（需提供公安部检测报告复印件证明并加盖原厂商公章或投标专用章）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9)视频帧率：50Hz: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主码流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( 2048x1536@ 25fps);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(704×576@25fps)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主码流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( 1280*1080@ 25fps);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(704×576@25fps); 60Hz: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主码流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(2048x1536@25f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);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(704×480@25fps)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主码流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(1280*1080@30fps);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辅码流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(704×480@30fps)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10)支持场景参数设置，可设置4套白平衡场景参数，不同场景参数可按时间设置自动切换。（需提供公安部检测报告复印件证明并加盖原厂商公章或投标专用章）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11)支持报警输入2路，报警输出2路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12)在互联网环境下，可通过手机app浏览样机监控画面。（需提供公安部检测报告复印件证明并加盖原厂商公章或投标专用章）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13)预览最大用户数 20个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14)用户管理 最大支持20个用户, 多级用户权限管理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15)安全模式 授权的用户名和密码; MAC地址绑定;HT TPS加密;IEEE  802.1x;网络 访问控制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16)具有日志检索功能，支持7种类型日志信息，在IE浏览器下，可通过开始时间和结束时间检索日志信息，查看日志内容，日志内容可备份。（需提供公安部检测报告复印件证明并加盖原厂商公章或投标专用章）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 xml:space="preserve">17)支持1个,10/100M以太网口，网络协议 HTTP;TCP;A RP;RTSP;RT P;UDP;SMTP ;FTP;DHCP; DNS;DDNS;P PPOE;IPv4/ v6;QoS;UPn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P;NTP;Bonj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our;802.1x ;组播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18)接入标准 ONVIF;GB/T 28181;CGI; PSIA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19)供电方式 DC12V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20)功耗 2.0W(典型值)4 .9W(最大值)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21)工作温度 ﹣30℃～﹢60℃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22)工作湿度 ≤95%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防护等级 IP67;IK10</w:t>
            </w:r>
          </w:p>
        </w:tc>
        <w:tc>
          <w:tcPr>
            <w:tcW w:w="850" w:type="dxa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851" w:type="dxa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硬盘录像机NVR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1.支持嵌入式Linux实时操作系统，支持操作界面WEB、本地GUI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2.支持IPv4、IPv6、HTTP、UPnP、 NTP、SNMP、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PPPoE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、DNS、FTP、ONVIF网络协议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3.支持32路网络视频接入，支持接入384Mbps, 储存384Mbps, 转发384Mbps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4.支持12M/4K/5M/ 3M/1080P/U XGA/1.3M/7 20P，支持1080 P@60帧分辨率；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5.支持最大解码2×12M/4×4K /6×5M/8×4M /11×3M/16× 1080P/32×7 20P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可通过HDMI1和HDMI2接口将3840x2160分辨率的不同码流解码同时显示输出在两个4K的液晶屏上;支持本地36分割预览，显示32通道预览画面;支持用户自己创建预览显示的布局，可组成6个自定义布局的窗口,单个窗口视频源可选择;支持VGA、 HDMI1、HDMI2屏输出，可输出不同的视频画面；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7.最大支持16路回放，支持录像方式和优先级：手 动录像&gt;报警录像&gt;动 态检测录像&gt;定时录像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8.支持H.265/H.26 4/MPEG4/MJ PEG视频压缩标准；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9.支持AAC/MP2/G7 26/G729/G7 22/G711A/G 711U/PCM音频压缩标准 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支持拌线入侵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，区域入 侵，物品看护，徘徊检 测，物品搬移，人员聚 集，快速移动，徘徊检 测，场景变更，音频检 测/支持客流统计，热 度图等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11.可将多台样机配置为集群管理方式，当某台样机发生故障时，备用样机可替换故障样机继续录像,故障恢复后，备用样机可将存储的录像回传给故障机，可以同时指定多台为备用样机（实测为1台主机2台备用机）（需提供公安部检测报告复印件证明并加盖原厂商公章或投标专用章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12.支持在NVR 配置拌 线入侵、区域入侵、物 品看护规则，当检测到 异常时，进行告警上报 并进行联动处理；支持 人脸侦测，实现人脸抠 图和人脸所在全景图， 进行告警上报并进行联 动处理，并支持人脸检 测录像回放；支持车辆 检测，对车牌号，车标 ，车色进行检测，根据 黑白名单设置，异常时 进行告警上报并进行联 动处理，并支持对车牌 号进行关联录像回放； 视频质量诊断（条纹干 扰、视频偏色、视频噪 声、视频虚焦、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视频过曝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）当检测到视频 质量异常时，进行告警 上报并进行联动处理； 支持浓缩播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放，根据人脸、车牌、通用行为分析，在选定时间段内提 炼成对象化的视频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13.支持ISCSI扩展存储功能，设备可通过网络与其他存储设备连接，并将数据存储于接入的存储设备（需提供公安部检测报告复印件证明并加盖原厂商公章或投标专用章）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14.将多路通道的多幅图像拼接成一幅图像（需提供公安部检测报告复印件证明并加盖原厂商公章或投标专用章）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15.音频接口 1路，支持IPC复合 音频输入/1路，支持 语音对讲输出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16.支持16进8出报警接口，支持8个SATA接口，单盘容量支持6TB， 支持Raid0、Raid1、Raid5、Raid6、Raid10、JBOD等多种 数据模式支持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eSATA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接口 1个外置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eSATA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接口，USB接口 2个前置USB2.0接口/2个后置USB 3.0接口，网络接口 2个RJ45 10/ 100/1000Mb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自适应以太网口，串行接口 1个RS-232/1个RS-485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17.支持1个系统运行指示灯， 1个硬盘指示灯，1个 网络指示灯，1个电源 指示灯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18.功耗 ＜20W（不含硬盘）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19.工作温度  -10℃～+55℃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20.工作湿度 10℅～90℅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监控级硬盘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6TB　监控专用硬盘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核心交换机板卡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H3C S7003E 交换机路由引擎，提供24端口千兆以太网光接口（SFP,LC）+4端口万兆以太网光接口（SFP+,LC）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接入交换机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1、端口及硬件要求：≥24个10/100/1000M以太网电接口　≥2个万兆光接口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2、交换容量：≥256Gbps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3、包转发速率：≥66Mpps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4、MAC：≥8K，支持MAC地址学习数目限制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5、防雷功能：防护≥9KV ，并提供第三方报告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6、认证报告：提供入网许可证和检测报告；提供CCC认证证书和RoHS证书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7、兼容性：为保障网络兼容性，要求与核心交换机统一品牌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光纤模块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1、速率：1000M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2、传输距离：5KM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3、兼容性：为保障网络兼容性，要求与核心交换机统一品牌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机柜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机柜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网线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超六类网线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电源线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电源线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电源线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电源线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音频线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拾音器音频线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施工辅材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PVC槽、镀锌槽、PVC弯头、直通、接头、地线、五金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223B8" w:rsidTr="00A223B8">
        <w:trPr>
          <w:trHeight w:val="795"/>
        </w:trPr>
        <w:tc>
          <w:tcPr>
            <w:tcW w:w="765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施工费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施工费、调试费等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3B8" w:rsidRDefault="00A223B8" w:rsidP="00AC6D9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</w:tr>
    </w:tbl>
    <w:p w:rsidR="00A223B8" w:rsidRDefault="00A223B8" w:rsidP="00A223B8">
      <w:pPr>
        <w:rPr>
          <w:rFonts w:ascii="宋体" w:hAnsi="宋体" w:cs="宋体" w:hint="eastAsia"/>
          <w:b/>
          <w:color w:val="000000"/>
          <w:kern w:val="0"/>
          <w:sz w:val="22"/>
          <w:szCs w:val="22"/>
          <w:highlight w:val="yellow"/>
          <w:lang w:bidi="ar"/>
        </w:rPr>
      </w:pPr>
    </w:p>
    <w:p w:rsidR="00AB4C15" w:rsidRDefault="00AB4C15"/>
    <w:sectPr w:rsidR="00AB4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B8"/>
    <w:rsid w:val="00036C11"/>
    <w:rsid w:val="000B6BAC"/>
    <w:rsid w:val="00202ECA"/>
    <w:rsid w:val="00A223B8"/>
    <w:rsid w:val="00A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A85E"/>
  <w15:chartTrackingRefBased/>
  <w15:docId w15:val="{B3B702EB-93F9-462D-A699-82FA658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2019-04-30T01:37:00Z</dcterms:created>
  <dcterms:modified xsi:type="dcterms:W3CDTF">2019-04-30T01:50:00Z</dcterms:modified>
</cp:coreProperties>
</file>